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F1" w:rsidRDefault="009B2DF1">
      <w:pPr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bCs/>
          <w:color w:val="205E21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>Сведения о наличии объектов для проведения практических занятий</w:t>
      </w:r>
    </w:p>
    <w:p w:rsidR="00733E76" w:rsidRDefault="00733E76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В МБДОУ </w:t>
      </w:r>
      <w:r w:rsidRPr="0055716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Детский сад №</w:t>
      </w:r>
      <w:r w:rsidR="00F77B41">
        <w:rPr>
          <w:rFonts w:ascii="Times New Roman CYR" w:eastAsia="Times New Roman CYR" w:hAnsi="Times New Roman CYR" w:cs="Times New Roman CYR"/>
        </w:rPr>
        <w:t>12</w:t>
      </w:r>
      <w:r w:rsidRPr="00557164">
        <w:rPr>
          <w:rFonts w:eastAsia="Times New Roman" w:cs="Times New Roman"/>
        </w:rPr>
        <w:t xml:space="preserve">» </w:t>
      </w:r>
      <w:r>
        <w:rPr>
          <w:rFonts w:eastAsia="Times New Roman" w:cs="Times New Roman"/>
        </w:rPr>
        <w:t xml:space="preserve">для проведения практических занятий </w:t>
      </w:r>
      <w:r>
        <w:rPr>
          <w:rFonts w:ascii="Times New Roman CYR" w:eastAsia="Times New Roman CYR" w:hAnsi="Times New Roman CYR" w:cs="Times New Roman CYR"/>
        </w:rPr>
        <w:t>оборудованы  2 групповые ячейки.</w:t>
      </w:r>
    </w:p>
    <w:p w:rsidR="00733E76" w:rsidRDefault="00733E76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Занятия по музыке и физическому развитию проводятся в групповых ячейках.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В ДОУ  имеются  музыкальные игрушки, инструменты, дидактические пособия, театральные костюмы и атрибуты, демонстрационный материал,   пособия для проведения утренников,   музыкально-дидактические игры и пособия  (альбомы, портреты композиторов, картины, аудиозаписи и др.),   шапки-маски зверей,  овощей и фруктов,   стульчики,   ширма - стойка для кукольного театра.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Техническое оборудование для занятий музыкой соответствует современным требованиям: музыкальный центр, ноутбук, телевизор, проектор, экран. </w:t>
      </w:r>
    </w:p>
    <w:p w:rsidR="00733E76" w:rsidRDefault="00733E76" w:rsidP="00733E76">
      <w:pPr>
        <w:autoSpaceDE w:val="0"/>
        <w:spacing w:after="160"/>
        <w:jc w:val="center"/>
        <w:rPr>
          <w:rFonts w:ascii="Times New Roman CYR" w:eastAsia="Times New Roman CYR" w:hAnsi="Times New Roman CYR" w:cs="Times New Roman CYR"/>
          <w:b/>
          <w:bCs/>
          <w:i/>
          <w:iCs/>
          <w:color w:val="205E21"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Музыкальные инструменты</w:t>
      </w:r>
    </w:p>
    <w:p w:rsidR="00C136F9" w:rsidRPr="00C136F9" w:rsidRDefault="00C136F9" w:rsidP="00733E76">
      <w:pPr>
        <w:autoSpaceDE w:val="0"/>
        <w:spacing w:after="160"/>
        <w:jc w:val="center"/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  <w:lang w:val="en-US"/>
        </w:rPr>
        <w:t>II</w:t>
      </w:r>
      <w:r w:rsidRPr="00C136F9"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разновозрастная группа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общеразвивающей</w:t>
      </w:r>
      <w:proofErr w:type="spellEnd"/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 направленности «Звездочки»</w:t>
      </w:r>
    </w:p>
    <w:tbl>
      <w:tblPr>
        <w:tblW w:w="9757" w:type="dxa"/>
        <w:tblInd w:w="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57"/>
      </w:tblGrid>
      <w:tr w:rsidR="00C136F9" w:rsidTr="00C136F9">
        <w:trPr>
          <w:trHeight w:val="145"/>
        </w:trPr>
        <w:tc>
          <w:tcPr>
            <w:tcW w:w="9757" w:type="dxa"/>
          </w:tcPr>
          <w:p w:rsidR="00C136F9" w:rsidRDefault="00C136F9" w:rsidP="00C136F9">
            <w:pPr>
              <w:spacing w:line="100" w:lineRule="atLeast"/>
            </w:pPr>
          </w:p>
          <w:p w:rsidR="00C136F9" w:rsidRDefault="00C136F9" w:rsidP="00C136F9">
            <w:pPr>
              <w:spacing w:line="100" w:lineRule="atLeast"/>
            </w:pPr>
            <w:r>
              <w:t>Музыкальный центр</w:t>
            </w:r>
          </w:p>
          <w:p w:rsidR="00C136F9" w:rsidRDefault="00C136F9" w:rsidP="00C136F9">
            <w:pPr>
              <w:spacing w:line="100" w:lineRule="atLeast"/>
            </w:pPr>
            <w:r>
              <w:t>Набор аудиозаписей</w:t>
            </w:r>
          </w:p>
          <w:p w:rsidR="00C136F9" w:rsidRDefault="00C136F9" w:rsidP="00C136F9">
            <w:pPr>
              <w:spacing w:line="100" w:lineRule="atLeast"/>
            </w:pPr>
            <w:r>
              <w:t>Барабаны (3 шт.)</w:t>
            </w:r>
          </w:p>
          <w:p w:rsidR="00C136F9" w:rsidRDefault="00C136F9" w:rsidP="00C136F9">
            <w:pPr>
              <w:spacing w:line="100" w:lineRule="atLeast"/>
            </w:pPr>
            <w:r>
              <w:t>Бубны (4 шт.)</w:t>
            </w:r>
          </w:p>
          <w:p w:rsidR="00C136F9" w:rsidRDefault="00C136F9" w:rsidP="00C136F9">
            <w:pPr>
              <w:spacing w:line="100" w:lineRule="atLeast"/>
            </w:pPr>
            <w:r>
              <w:t>Колокольчики разных размеров (39 шт.)</w:t>
            </w:r>
          </w:p>
          <w:p w:rsidR="00C136F9" w:rsidRDefault="00C136F9" w:rsidP="00C136F9">
            <w:pPr>
              <w:spacing w:line="100" w:lineRule="atLeast"/>
            </w:pPr>
            <w:r>
              <w:t>Ложки (15 шт.)</w:t>
            </w:r>
          </w:p>
          <w:p w:rsidR="00C136F9" w:rsidRDefault="00C136F9" w:rsidP="00C136F9">
            <w:pPr>
              <w:spacing w:line="100" w:lineRule="atLeast"/>
            </w:pPr>
            <w:r>
              <w:t>Треугольники (3 шт.)</w:t>
            </w:r>
          </w:p>
          <w:p w:rsidR="00C136F9" w:rsidRDefault="00C136F9" w:rsidP="00C136F9">
            <w:pPr>
              <w:spacing w:line="100" w:lineRule="atLeast"/>
            </w:pPr>
            <w:r>
              <w:t>Матрешки (3 набора)</w:t>
            </w:r>
          </w:p>
          <w:p w:rsidR="00C136F9" w:rsidRDefault="00C136F9" w:rsidP="00C136F9">
            <w:pPr>
              <w:spacing w:line="100" w:lineRule="atLeast"/>
            </w:pPr>
            <w:r>
              <w:t>Баян (1 шт.)</w:t>
            </w:r>
          </w:p>
          <w:p w:rsidR="00C136F9" w:rsidRDefault="00C136F9" w:rsidP="00C136F9">
            <w:pPr>
              <w:spacing w:line="100" w:lineRule="atLeast"/>
            </w:pPr>
            <w:r>
              <w:t>Набор инструментов (шумовых  6 шт.)</w:t>
            </w:r>
          </w:p>
          <w:p w:rsidR="00C136F9" w:rsidRDefault="00C136F9" w:rsidP="00C136F9">
            <w:pPr>
              <w:spacing w:line="100" w:lineRule="atLeast"/>
            </w:pPr>
            <w:r>
              <w:t>Металлофон – 3 шт.</w:t>
            </w:r>
          </w:p>
          <w:p w:rsidR="00C136F9" w:rsidRDefault="00C136F9" w:rsidP="00C136F9">
            <w:pPr>
              <w:spacing w:line="100" w:lineRule="atLeast"/>
            </w:pPr>
            <w:r>
              <w:t xml:space="preserve">Дудка </w:t>
            </w:r>
          </w:p>
        </w:tc>
      </w:tr>
    </w:tbl>
    <w:p w:rsidR="00733E76" w:rsidRPr="00B355EE" w:rsidRDefault="00C136F9" w:rsidP="00B355EE">
      <w:pPr>
        <w:autoSpaceDE w:val="0"/>
        <w:spacing w:after="160"/>
        <w:jc w:val="center"/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  <w:lang w:val="en-US"/>
        </w:rPr>
        <w:t>I</w:t>
      </w:r>
      <w:r w:rsidRPr="00C136F9"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разновозрастная группа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общеразвивающей</w:t>
      </w:r>
      <w:proofErr w:type="spellEnd"/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 направленности «</w:t>
      </w:r>
      <w:r w:rsidR="00F77B41"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Подсолнух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»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 xml:space="preserve">    </w:t>
      </w:r>
      <w:r>
        <w:rPr>
          <w:rFonts w:ascii="Times New Roman CYR" w:eastAsia="Times New Roman CYR" w:hAnsi="Times New Roman CYR" w:cs="Times New Roman CYR"/>
        </w:rPr>
        <w:t xml:space="preserve"> Для проведения утренней г</w:t>
      </w:r>
      <w:r w:rsidR="00C136F9">
        <w:rPr>
          <w:rFonts w:ascii="Times New Roman CYR" w:eastAsia="Times New Roman CYR" w:hAnsi="Times New Roman CYR" w:cs="Times New Roman CYR"/>
        </w:rPr>
        <w:t>имнастики, занятий по физическому развитию</w:t>
      </w:r>
      <w:r>
        <w:rPr>
          <w:rFonts w:ascii="Times New Roman CYR" w:eastAsia="Times New Roman CYR" w:hAnsi="Times New Roman CYR" w:cs="Times New Roman CYR"/>
        </w:rPr>
        <w:t>, праздников, физкультурных досугов, соревнований также используются групповые помещения.</w:t>
      </w:r>
    </w:p>
    <w:p w:rsidR="00733E76" w:rsidRDefault="00C136F9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На занятиях по физическому развитию</w:t>
      </w:r>
      <w:r w:rsidR="00733E76">
        <w:rPr>
          <w:rFonts w:ascii="Times New Roman CYR" w:eastAsia="Times New Roman CYR" w:hAnsi="Times New Roman CYR" w:cs="Times New Roman CYR"/>
        </w:rPr>
        <w:t xml:space="preserve"> воспитанниками приобретается опыт в следующих 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733E76">
        <w:rPr>
          <w:rFonts w:ascii="Times New Roman CYR" w:eastAsia="Times New Roman CYR" w:hAnsi="Times New Roman CYR" w:cs="Times New Roman CYR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733E76">
        <w:rPr>
          <w:rFonts w:ascii="Times New Roman CYR" w:eastAsia="Times New Roman CYR" w:hAnsi="Times New Roman CYR" w:cs="Times New Roman CYR"/>
        </w:rPr>
        <w:t>саморегуляции</w:t>
      </w:r>
      <w:proofErr w:type="spellEnd"/>
      <w:r w:rsidR="00733E76">
        <w:rPr>
          <w:rFonts w:ascii="Times New Roman CYR" w:eastAsia="Times New Roman CYR" w:hAnsi="Times New Roman CYR" w:cs="Times New Roman CYR"/>
        </w:rPr>
        <w:t xml:space="preserve"> в двигательной сфере.</w:t>
      </w:r>
      <w:proofErr w:type="gramEnd"/>
    </w:p>
    <w:p w:rsidR="00733E76" w:rsidRDefault="00733E76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Оборудование уголков по физическому развитию включает:   оборудование для профилактики плоскостопия, осанки (массажные</w:t>
      </w:r>
      <w:r w:rsidR="00B355EE">
        <w:rPr>
          <w:rFonts w:ascii="Times New Roman CYR" w:eastAsia="Times New Roman CYR" w:hAnsi="Times New Roman CYR" w:cs="Times New Roman CYR"/>
        </w:rPr>
        <w:t xml:space="preserve"> дорожки, массажные палочки и</w:t>
      </w:r>
      <w:r>
        <w:rPr>
          <w:rFonts w:ascii="Times New Roman CYR" w:eastAsia="Times New Roman CYR" w:hAnsi="Times New Roman CYR" w:cs="Times New Roman CYR"/>
        </w:rPr>
        <w:t xml:space="preserve">  другое</w:t>
      </w:r>
      <w:r w:rsidR="00B355EE">
        <w:rPr>
          <w:rFonts w:ascii="Times New Roman CYR" w:eastAsia="Times New Roman CYR" w:hAnsi="Times New Roman CYR" w:cs="Times New Roman CYR"/>
        </w:rPr>
        <w:t>)</w:t>
      </w:r>
      <w:r>
        <w:rPr>
          <w:rFonts w:ascii="Times New Roman CYR" w:eastAsia="Times New Roman CYR" w:hAnsi="Times New Roman CYR" w:cs="Times New Roman CYR"/>
        </w:rPr>
        <w:t xml:space="preserve">;   разнообразный спортивный инвентарь для физического развития детей разного возраста (мячи, обручи, гантели, флажки, ленты, скакалки, мешочки для метания и другое).  Все оборудование соответствует санитарно - эпидемиологическим правилам и нормативам. </w:t>
      </w:r>
    </w:p>
    <w:p w:rsidR="00C136F9" w:rsidRPr="00C136F9" w:rsidRDefault="00C136F9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</w:t>
      </w:r>
      <w:proofErr w:type="gramStart"/>
      <w:r>
        <w:rPr>
          <w:rFonts w:ascii="Times New Roman CYR" w:eastAsia="Times New Roman CYR" w:hAnsi="Times New Roman CYR" w:cs="Times New Roman CYR"/>
          <w:lang w:val="en-US"/>
        </w:rPr>
        <w:t>II</w:t>
      </w:r>
      <w:r w:rsidRPr="00C136F9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разновозрастная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группа </w:t>
      </w:r>
      <w:proofErr w:type="spellStart"/>
      <w:r>
        <w:rPr>
          <w:rFonts w:ascii="Times New Roman CYR" w:eastAsia="Times New Roman CYR" w:hAnsi="Times New Roman CYR" w:cs="Times New Roman CYR"/>
        </w:rPr>
        <w:t>общеразвивающей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направленности «</w:t>
      </w:r>
      <w:r w:rsidR="00F77B41">
        <w:rPr>
          <w:rFonts w:ascii="Times New Roman CYR" w:eastAsia="Times New Roman CYR" w:hAnsi="Times New Roman CYR" w:cs="Times New Roman CYR"/>
        </w:rPr>
        <w:t>Ромашка</w:t>
      </w:r>
      <w:r>
        <w:rPr>
          <w:rFonts w:ascii="Times New Roman CYR" w:eastAsia="Times New Roman CYR" w:hAnsi="Times New Roman CYR" w:cs="Times New Roman CYR"/>
        </w:rPr>
        <w:t>»</w:t>
      </w:r>
    </w:p>
    <w:tbl>
      <w:tblPr>
        <w:tblW w:w="9757" w:type="dxa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6"/>
        <w:gridCol w:w="6241"/>
      </w:tblGrid>
      <w:tr w:rsidR="00C136F9" w:rsidTr="00C136F9">
        <w:trPr>
          <w:trHeight w:val="145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Занятия по физическому развитию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 xml:space="preserve">Формирование начальных представлений о здоровом образе </w:t>
            </w:r>
            <w:r>
              <w:lastRenderedPageBreak/>
              <w:t>жизни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lastRenderedPageBreak/>
              <w:t>Набор бадминтон (3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Мячи  большие (11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Мячи маленькие (46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Игра  «Сбей кеглю» (2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Обручи (14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lastRenderedPageBreak/>
              <w:t>Палки для зарядки (28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Гантели (12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Клюшки (2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Настольная игра «Баскетбол»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Массажные шарики (22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 xml:space="preserve">Веревки для </w:t>
            </w:r>
            <w:proofErr w:type="spellStart"/>
            <w:r>
              <w:t>перетягиваний</w:t>
            </w:r>
            <w:proofErr w:type="spellEnd"/>
            <w:r>
              <w:t xml:space="preserve"> (2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 xml:space="preserve">Дуги (для </w:t>
            </w:r>
            <w:proofErr w:type="spellStart"/>
            <w:r>
              <w:t>подлезания</w:t>
            </w:r>
            <w:proofErr w:type="spellEnd"/>
            <w:r>
              <w:t>) (2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Развивающее лото «Спорт»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Наглядные пособия «Виды спорта»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Лошадки (2 шт.)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Игра «</w:t>
            </w:r>
            <w:proofErr w:type="spellStart"/>
            <w:r>
              <w:t>Твистер</w:t>
            </w:r>
            <w:proofErr w:type="spellEnd"/>
            <w:r>
              <w:t>»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Дорожка для профилактики плоскостопия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Ребристая дорожка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2 скамейки</w:t>
            </w:r>
          </w:p>
          <w:p w:rsidR="00C136F9" w:rsidRDefault="00C136F9" w:rsidP="00C136F9">
            <w:pPr>
              <w:snapToGrid w:val="0"/>
              <w:spacing w:line="100" w:lineRule="atLeast"/>
              <w:jc w:val="both"/>
            </w:pPr>
            <w:r>
              <w:t>Игра «Гольф» (3 шт.)</w:t>
            </w:r>
          </w:p>
        </w:tc>
      </w:tr>
    </w:tbl>
    <w:p w:rsidR="00C136F9" w:rsidRDefault="00C136F9" w:rsidP="00C136F9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  <w:lang w:val="en-US"/>
        </w:rPr>
      </w:pPr>
      <w:r>
        <w:rPr>
          <w:rFonts w:ascii="Times New Roman CYR" w:eastAsia="Times New Roman CYR" w:hAnsi="Times New Roman CYR" w:cs="Times New Roman CYR"/>
        </w:rPr>
        <w:lastRenderedPageBreak/>
        <w:t xml:space="preserve">                      </w:t>
      </w:r>
    </w:p>
    <w:p w:rsidR="00C136F9" w:rsidRPr="00C136F9" w:rsidRDefault="00C136F9" w:rsidP="00C136F9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C136F9">
        <w:rPr>
          <w:rFonts w:ascii="Times New Roman CYR" w:eastAsia="Times New Roman CYR" w:hAnsi="Times New Roman CYR" w:cs="Times New Roman CYR"/>
        </w:rPr>
        <w:t xml:space="preserve">              </w:t>
      </w:r>
      <w:proofErr w:type="gramStart"/>
      <w:r>
        <w:rPr>
          <w:rFonts w:ascii="Times New Roman CYR" w:eastAsia="Times New Roman CYR" w:hAnsi="Times New Roman CYR" w:cs="Times New Roman CYR"/>
          <w:lang w:val="en-US"/>
        </w:rPr>
        <w:t>I</w:t>
      </w:r>
      <w:r w:rsidRPr="00C136F9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разновозрастная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группа </w:t>
      </w:r>
      <w:proofErr w:type="spellStart"/>
      <w:r>
        <w:rPr>
          <w:rFonts w:ascii="Times New Roman CYR" w:eastAsia="Times New Roman CYR" w:hAnsi="Times New Roman CYR" w:cs="Times New Roman CYR"/>
        </w:rPr>
        <w:t>общеразвивающей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направленности «</w:t>
      </w:r>
      <w:r w:rsidR="00F77B41">
        <w:rPr>
          <w:rFonts w:ascii="Times New Roman CYR" w:eastAsia="Times New Roman CYR" w:hAnsi="Times New Roman CYR" w:cs="Times New Roman CYR"/>
        </w:rPr>
        <w:t>Подсолнух</w:t>
      </w:r>
      <w:r>
        <w:rPr>
          <w:rFonts w:ascii="Times New Roman CYR" w:eastAsia="Times New Roman CYR" w:hAnsi="Times New Roman CYR" w:cs="Times New Roman CYR"/>
        </w:rPr>
        <w:t>»</w:t>
      </w:r>
    </w:p>
    <w:p w:rsidR="00733E76" w:rsidRDefault="00733E76" w:rsidP="00733E76">
      <w:pPr>
        <w:autoSpaceDE w:val="0"/>
        <w:spacing w:after="160"/>
        <w:jc w:val="center"/>
      </w:pPr>
    </w:p>
    <w:p w:rsidR="00733E76" w:rsidRDefault="00733E76" w:rsidP="00733E76">
      <w:pPr>
        <w:shd w:val="clear" w:color="auto" w:fill="FFFFFF"/>
        <w:spacing w:line="100" w:lineRule="atLeast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pacing w:val="-1"/>
        </w:rPr>
        <w:t>Обеспеченность компьютерами, информационно-коммуникативными</w:t>
      </w:r>
      <w:r>
        <w:rPr>
          <w:rFonts w:cs="Times New Roman"/>
          <w:b/>
          <w:bCs/>
          <w:color w:val="000000"/>
          <w:spacing w:val="-1"/>
        </w:rPr>
        <w:br/>
      </w:r>
      <w:r>
        <w:rPr>
          <w:rFonts w:cs="Times New Roman"/>
          <w:b/>
          <w:bCs/>
          <w:color w:val="000000"/>
        </w:rPr>
        <w:t>сетями, аппаратно-программными и аудиовизуальными средствами</w:t>
      </w:r>
    </w:p>
    <w:tbl>
      <w:tblPr>
        <w:tblW w:w="0" w:type="auto"/>
        <w:tblInd w:w="214" w:type="dxa"/>
        <w:tblLayout w:type="fixed"/>
        <w:tblLook w:val="0000"/>
      </w:tblPr>
      <w:tblGrid>
        <w:gridCol w:w="6120"/>
        <w:gridCol w:w="3521"/>
      </w:tblGrid>
      <w:tr w:rsidR="00733E76" w:rsidTr="009B2DF1">
        <w:trPr>
          <w:trHeight w:val="1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>Ноутбук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 2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Точка доступа к сети Интернет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>1 шт.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Музыкальный центр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2 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DVD-плеер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1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Магнитола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1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>Видеокамера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1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Телевизор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2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Проектор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1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Экран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1 шт.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Акустическая система (колонки)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</w:tr>
      <w:tr w:rsidR="00733E76" w:rsidTr="009B2DF1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>МФУ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76" w:rsidRDefault="00733E76" w:rsidP="009B2DF1">
            <w:pPr>
              <w:pStyle w:val="Default"/>
              <w:snapToGrid w:val="0"/>
              <w:spacing w:line="100" w:lineRule="atLeast"/>
              <w:jc w:val="both"/>
            </w:pPr>
            <w:r>
              <w:t xml:space="preserve">2 шт. </w:t>
            </w:r>
          </w:p>
        </w:tc>
      </w:tr>
    </w:tbl>
    <w:p w:rsidR="00733E76" w:rsidRDefault="00733E76" w:rsidP="00733E76">
      <w:pPr>
        <w:shd w:val="clear" w:color="auto" w:fill="FFFFFF"/>
        <w:autoSpaceDE w:val="0"/>
        <w:spacing w:before="317" w:line="100" w:lineRule="atLeast"/>
        <w:jc w:val="both"/>
        <w:rPr>
          <w:rFonts w:eastAsia="Times New Roman" w:cs="Times New Roman"/>
          <w:b/>
          <w:bCs/>
          <w:color w:val="205E21"/>
          <w:lang w:val="en-US"/>
        </w:rPr>
      </w:pP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b/>
          <w:bCs/>
          <w:color w:val="205E21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>В центральном коридоре Учреждения размещены: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информационный стенд для родителей (законных представителей) воспитанников: копия Устава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 ;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копия лицензии на осуществление образовательной деятельности (с приложением); копия ОП ДО ДОУ; копии документов, регламентирующих организацию и осуществление образовательной деятельности; копии документов, регламентирующих права и обязанности воспитанников; копия распорядительного администрации МО </w:t>
      </w:r>
      <w:r w:rsidRPr="0055716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город Бугуруслан</w:t>
      </w:r>
      <w:r w:rsidRPr="0055716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о закреплении МБДОУ «Детский сад №</w:t>
      </w:r>
      <w:r w:rsidR="00F77B41">
        <w:rPr>
          <w:rFonts w:ascii="Times New Roman CYR" w:eastAsia="Times New Roman CYR" w:hAnsi="Times New Roman CYR" w:cs="Times New Roman CYR"/>
        </w:rPr>
        <w:t>12</w:t>
      </w:r>
      <w:r w:rsidRPr="0055716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за конкретными территориями; информация о сроках приема документов в ДОУ; примерная форма заявления   о приеме в ДОУ; копия распорядительного акта о зачислении ребенка в ДОУ, документ об установлении размера платы, взимаемой с родителе</w:t>
      </w:r>
      <w:proofErr w:type="gramStart"/>
      <w:r>
        <w:rPr>
          <w:rFonts w:ascii="Times New Roman CYR" w:eastAsia="Times New Roman CYR" w:hAnsi="Times New Roman CYR" w:cs="Times New Roman CYR"/>
        </w:rPr>
        <w:t>й(</w:t>
      </w:r>
      <w:proofErr w:type="gramEnd"/>
      <w:r>
        <w:rPr>
          <w:rFonts w:ascii="Times New Roman CYR" w:eastAsia="Times New Roman CYR" w:hAnsi="Times New Roman CYR" w:cs="Times New Roman CYR"/>
        </w:rPr>
        <w:t>законных представителей) ребенка за присмотр и уход за      детьми.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информационный стенд по организации питания в детском саду с ежедневным меню;  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стенд по пожарной безопасности, охране труда;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уголок по безопасности дорожного движения;</w:t>
      </w:r>
    </w:p>
    <w:p w:rsidR="00733E76" w:rsidRPr="00557164" w:rsidRDefault="00733E76" w:rsidP="00733E76">
      <w:pPr>
        <w:autoSpaceDE w:val="0"/>
        <w:spacing w:line="259" w:lineRule="atLeast"/>
        <w:jc w:val="both"/>
        <w:rPr>
          <w:rFonts w:eastAsia="Times New Roman" w:cs="Times New Roman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стенд </w:t>
      </w:r>
      <w:r w:rsidRPr="0055716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План-схема района расположения ОУ, пути движения транспортных средств и родителей с детьми</w:t>
      </w:r>
      <w:r w:rsidRPr="00557164">
        <w:rPr>
          <w:rFonts w:eastAsia="Times New Roman" w:cs="Times New Roman"/>
        </w:rPr>
        <w:t>»,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галерея тематических выставок. </w:t>
      </w:r>
    </w:p>
    <w:p w:rsidR="00733E76" w:rsidRPr="00557164" w:rsidRDefault="00733E76" w:rsidP="00733E76">
      <w:pPr>
        <w:autoSpaceDE w:val="0"/>
        <w:spacing w:after="160" w:line="259" w:lineRule="atLeast"/>
        <w:jc w:val="both"/>
        <w:rPr>
          <w:rFonts w:eastAsia="Times New Roman" w:cs="Times New Roman"/>
          <w:b/>
          <w:bCs/>
          <w:color w:val="205E21"/>
        </w:rPr>
      </w:pPr>
    </w:p>
    <w:p w:rsidR="00733E76" w:rsidRDefault="00733E76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>На территории</w:t>
      </w:r>
      <w:r>
        <w:rPr>
          <w:rFonts w:ascii="Times New Roman CYR" w:eastAsia="Times New Roman CYR" w:hAnsi="Times New Roman CYR" w:cs="Times New Roman CYR"/>
          <w:color w:val="205E21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МБДОУ </w:t>
      </w:r>
      <w:r w:rsidRPr="0055716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Детский сад №</w:t>
      </w:r>
      <w:r w:rsidR="00F77B41">
        <w:rPr>
          <w:rFonts w:ascii="Times New Roman CYR" w:eastAsia="Times New Roman CYR" w:hAnsi="Times New Roman CYR" w:cs="Times New Roman CYR"/>
        </w:rPr>
        <w:t>12</w:t>
      </w:r>
      <w:r w:rsidRPr="0055716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создана среда для осуществления образовательной деятельности.   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>Спортивные площадки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color w:val="385623"/>
        </w:rPr>
        <w:t xml:space="preserve">(2) </w:t>
      </w:r>
      <w:r>
        <w:rPr>
          <w:rFonts w:ascii="Times New Roman CYR" w:eastAsia="Times New Roman CYR" w:hAnsi="Times New Roman CYR" w:cs="Times New Roman CYR"/>
        </w:rPr>
        <w:t xml:space="preserve">предназначены для проведения занятий по физическому развитию, спортивных и подвижных игр, </w:t>
      </w:r>
      <w:proofErr w:type="spellStart"/>
      <w:r>
        <w:rPr>
          <w:rFonts w:ascii="Times New Roman CYR" w:eastAsia="Times New Roman CYR" w:hAnsi="Times New Roman CYR" w:cs="Times New Roman CYR"/>
        </w:rPr>
        <w:t>досуговых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мероприятий, праздников с обучающимися (воспитанниками).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 xml:space="preserve">            </w:t>
      </w:r>
    </w:p>
    <w:p w:rsidR="00733E76" w:rsidRPr="00557164" w:rsidRDefault="00733E76" w:rsidP="00733E76">
      <w:pPr>
        <w:autoSpaceDE w:val="0"/>
        <w:spacing w:line="259" w:lineRule="atLeast"/>
        <w:jc w:val="both"/>
        <w:rPr>
          <w:rFonts w:eastAsia="Times New Roman" w:cs="Times New Roman"/>
          <w:b/>
          <w:bCs/>
          <w:i/>
          <w:iCs/>
          <w:color w:val="205E21"/>
        </w:rPr>
      </w:pP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</w:pPr>
      <w:r w:rsidRPr="00557164">
        <w:rPr>
          <w:rFonts w:eastAsia="Times New Roman" w:cs="Times New Roman"/>
          <w:b/>
          <w:bCs/>
          <w:i/>
          <w:iCs/>
          <w:color w:val="205E21"/>
        </w:rPr>
        <w:t xml:space="preserve">                  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Перечень оборудования физкультурной площадки</w:t>
      </w:r>
    </w:p>
    <w:tbl>
      <w:tblPr>
        <w:tblW w:w="0" w:type="auto"/>
        <w:tblInd w:w="108" w:type="dxa"/>
        <w:tblLayout w:type="fixed"/>
        <w:tblLook w:val="0000"/>
      </w:tblPr>
      <w:tblGrid>
        <w:gridCol w:w="1129"/>
        <w:gridCol w:w="6663"/>
        <w:gridCol w:w="1553"/>
      </w:tblGrid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eastAsia="Times New Roman" w:cs="Times New Roman"/>
                <w:b/>
                <w:bCs/>
                <w:color w:val="205E2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205E21"/>
                <w:lang w:val="en-US"/>
              </w:rPr>
              <w:t>№</w:t>
            </w:r>
          </w:p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Наименование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Количество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Бревно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Яма для прыжков в длину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Дорожка по профилактике плоскостопия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Баскетбольная корзина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B266E1" w:rsidRDefault="00B266E1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Детский спортивный комплекс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Стенка для метания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B266E1" w:rsidRDefault="00B266E1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</w:tbl>
    <w:p w:rsidR="00733E76" w:rsidRDefault="00733E76" w:rsidP="00733E76">
      <w:pPr>
        <w:autoSpaceDE w:val="0"/>
        <w:spacing w:line="259" w:lineRule="atLeast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color w:val="205E21"/>
        </w:rPr>
        <w:t>Прогулочные участки</w:t>
      </w:r>
      <w:r>
        <w:rPr>
          <w:rFonts w:ascii="Times New Roman CYR" w:eastAsia="Times New Roman CYR" w:hAnsi="Times New Roman CYR" w:cs="Times New Roman CYR"/>
          <w:color w:val="205E21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(для 2 групп) предназначены для прогулки, наблюдения, игровой деятельности, самостоятельной двигательной деятельности, индивидуальной работы, трудовой деятельности с детьми.</w:t>
      </w:r>
    </w:p>
    <w:p w:rsidR="00733E76" w:rsidRPr="00557164" w:rsidRDefault="00733E76" w:rsidP="00733E76">
      <w:pPr>
        <w:autoSpaceDE w:val="0"/>
        <w:spacing w:line="259" w:lineRule="atLeast"/>
        <w:jc w:val="both"/>
        <w:rPr>
          <w:rFonts w:eastAsia="Times New Roman" w:cs="Times New Roman"/>
        </w:rPr>
      </w:pP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</w:pPr>
      <w:r w:rsidRPr="00557164">
        <w:rPr>
          <w:rFonts w:eastAsia="Times New Roman" w:cs="Times New Roman"/>
          <w:b/>
          <w:bCs/>
          <w:i/>
          <w:iCs/>
          <w:color w:val="205E21"/>
        </w:rPr>
        <w:t xml:space="preserve">                    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05E21"/>
        </w:rPr>
        <w:t>Перечень оборудования прогулочных участков</w:t>
      </w:r>
    </w:p>
    <w:tbl>
      <w:tblPr>
        <w:tblW w:w="0" w:type="auto"/>
        <w:tblInd w:w="108" w:type="dxa"/>
        <w:tblLayout w:type="fixed"/>
        <w:tblLook w:val="0000"/>
      </w:tblPr>
      <w:tblGrid>
        <w:gridCol w:w="1129"/>
        <w:gridCol w:w="6663"/>
        <w:gridCol w:w="1553"/>
      </w:tblGrid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eastAsia="Times New Roman" w:cs="Times New Roman"/>
                <w:b/>
                <w:bCs/>
                <w:color w:val="205E2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205E21"/>
                <w:lang w:val="en-US"/>
              </w:rPr>
              <w:t>№</w:t>
            </w:r>
          </w:p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Наименование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05E21"/>
              </w:rPr>
              <w:t>Количество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Теневые навесы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Песочницы с крышками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Стол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Скамейки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Качалка на пружине «Дельфин»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Качалка балансир малая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Качалка балансир средняя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Металлическая конструкция «Ракета»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B266E1" w:rsidRDefault="00B266E1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Домик</w:t>
            </w:r>
          </w:p>
        </w:tc>
        <w:tc>
          <w:tcPr>
            <w:tcW w:w="1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733E76" w:rsidTr="00733E76">
        <w:trPr>
          <w:trHeight w:val="1"/>
        </w:trPr>
        <w:tc>
          <w:tcPr>
            <w:tcW w:w="1129" w:type="dxa"/>
            <w:tcBorders>
              <w:left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</w:t>
            </w:r>
          </w:p>
        </w:tc>
        <w:tc>
          <w:tcPr>
            <w:tcW w:w="6663" w:type="dxa"/>
            <w:tcBorders>
              <w:left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Колодец</w:t>
            </w:r>
          </w:p>
        </w:tc>
        <w:tc>
          <w:tcPr>
            <w:tcW w:w="1553" w:type="dxa"/>
            <w:tcBorders>
              <w:left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733E76" w:rsidTr="009B2DF1">
        <w:trPr>
          <w:trHeight w:val="1"/>
        </w:trPr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6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Default="00733E76" w:rsidP="009B2DF1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Счеты на столбах</w:t>
            </w:r>
          </w:p>
        </w:tc>
        <w:tc>
          <w:tcPr>
            <w:tcW w:w="1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E76" w:rsidRPr="00733E76" w:rsidRDefault="00733E76" w:rsidP="009B2DF1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</w:tbl>
    <w:p w:rsidR="00733E76" w:rsidRDefault="00733E76" w:rsidP="00733E76">
      <w:pPr>
        <w:autoSpaceDE w:val="0"/>
        <w:spacing w:line="259" w:lineRule="atLeast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05E21"/>
        </w:rPr>
        <w:t>На территории</w:t>
      </w:r>
      <w:r>
        <w:rPr>
          <w:rFonts w:ascii="Times New Roman CYR" w:eastAsia="Times New Roman CYR" w:hAnsi="Times New Roman CYR" w:cs="Times New Roman CYR"/>
          <w:color w:val="205E21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МБДОУ </w:t>
      </w:r>
      <w:r w:rsidRPr="0055716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Детский сад №</w:t>
      </w:r>
      <w:r w:rsidR="00F77B41">
        <w:rPr>
          <w:rFonts w:ascii="Times New Roman CYR" w:eastAsia="Times New Roman CYR" w:hAnsi="Times New Roman CYR" w:cs="Times New Roman CYR"/>
        </w:rPr>
        <w:t>12</w:t>
      </w:r>
      <w:r w:rsidRPr="0055716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размещены следующие объекты для проведения практической деятельности:       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кормушки для птиц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</w:rPr>
        <w:t>метереологический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уголок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-уголок лекарственных растений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 w:rsidRPr="00557164">
        <w:rPr>
          <w:rFonts w:eastAsia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цветники</w:t>
      </w:r>
    </w:p>
    <w:p w:rsidR="00733E76" w:rsidRDefault="00733E76" w:rsidP="00733E76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мини-огород</w:t>
      </w:r>
    </w:p>
    <w:p w:rsidR="009B2DF1" w:rsidRPr="00733E76" w:rsidRDefault="009B2DF1" w:rsidP="00733E76">
      <w:pPr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</w:rPr>
      </w:pPr>
    </w:p>
    <w:p w:rsidR="009B2DF1" w:rsidRDefault="009B2DF1">
      <w:pPr>
        <w:autoSpaceDE w:val="0"/>
        <w:spacing w:line="259" w:lineRule="atLeast"/>
        <w:jc w:val="both"/>
      </w:pPr>
    </w:p>
    <w:sectPr w:rsidR="009B2D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33E76"/>
    <w:rsid w:val="00733E76"/>
    <w:rsid w:val="009B2DF1"/>
    <w:rsid w:val="00B266E1"/>
    <w:rsid w:val="00B355EE"/>
    <w:rsid w:val="00C136F9"/>
    <w:rsid w:val="00F7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Шестова</dc:creator>
  <cp:lastModifiedBy>user1</cp:lastModifiedBy>
  <cp:revision>2</cp:revision>
  <cp:lastPrinted>2018-04-09T09:18:00Z</cp:lastPrinted>
  <dcterms:created xsi:type="dcterms:W3CDTF">2018-09-12T08:25:00Z</dcterms:created>
  <dcterms:modified xsi:type="dcterms:W3CDTF">2018-09-12T08:25:00Z</dcterms:modified>
</cp:coreProperties>
</file>